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3B" w:rsidRDefault="00ED7E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</w:t>
      </w:r>
      <w:r>
        <w:rPr>
          <w:rFonts w:ascii="Times New Roman" w:hAnsi="Times New Roman"/>
          <w:b/>
          <w:sz w:val="28"/>
          <w:szCs w:val="28"/>
        </w:rPr>
        <w:t xml:space="preserve">соответствующей формы справки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 2022 году (за отчетный 2021 год)</w:t>
      </w:r>
    </w:p>
    <w:p w:rsidR="00B7233B" w:rsidRDefault="00B723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233B" w:rsidRDefault="00ED7E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</w:t>
      </w:r>
      <w:r>
        <w:rPr>
          <w:rFonts w:ascii="Times New Roman" w:hAnsi="Times New Roman"/>
          <w:sz w:val="28"/>
          <w:szCs w:val="28"/>
        </w:rPr>
        <w:t xml:space="preserve">ставления сведений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заполнения соответствующей формы справки (далее – Методические рекомендации, сведения соответственно), направления их в заинтересованные государственные орга</w:t>
      </w:r>
      <w:r>
        <w:rPr>
          <w:rFonts w:ascii="Times New Roman" w:hAnsi="Times New Roman"/>
          <w:sz w:val="28"/>
          <w:szCs w:val="28"/>
        </w:rPr>
        <w:t>ны и организации, а также размещения на официальном сайте Минтруда России.</w:t>
      </w:r>
    </w:p>
    <w:p w:rsidR="00B7233B" w:rsidRDefault="00ED7E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для применения в ходе декларационной кампании 2022 года (за отчетный 2021 год) подготовлены Министерством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при участии Администрации Президента Российской </w:t>
      </w:r>
      <w:r>
        <w:rPr>
          <w:rFonts w:ascii="Times New Roman" w:hAnsi="Times New Roman"/>
          <w:sz w:val="28"/>
          <w:szCs w:val="28"/>
        </w:rPr>
        <w:t xml:space="preserve">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иных заинтересованных федеральных государственных органов.</w:t>
      </w:r>
    </w:p>
    <w:p w:rsidR="00B7233B" w:rsidRDefault="00ED7E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</w:t>
      </w:r>
      <w:r>
        <w:rPr>
          <w:rFonts w:ascii="Times New Roman" w:hAnsi="Times New Roman"/>
          <w:sz w:val="28"/>
          <w:szCs w:val="28"/>
        </w:rPr>
        <w:t xml:space="preserve"> следующее.</w:t>
      </w:r>
    </w:p>
    <w:p w:rsidR="00B7233B" w:rsidRDefault="00ED7E7F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B7233B" w:rsidRDefault="00ED7E7F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13 Методических рекомен</w:t>
      </w:r>
      <w:r>
        <w:rPr>
          <w:rFonts w:ascii="Times New Roman" w:hAnsi="Times New Roman"/>
          <w:sz w:val="28"/>
          <w:szCs w:val="28"/>
        </w:rPr>
        <w:t xml:space="preserve">даций отмечено, что перевод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государственной гражданской службе Российской Федерации предполагает увольнение и, как следствие, необходимость представления сведений в качестве кандидата.</w:t>
      </w:r>
    </w:p>
    <w:p w:rsidR="00B7233B" w:rsidRDefault="00ED7E7F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Ошибочное (неточное) указание сведений вследствие ошибок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неточно</w:t>
      </w:r>
      <w:r>
        <w:rPr>
          <w:rFonts w:ascii="Times New Roman" w:hAnsi="Times New Roman"/>
          <w:sz w:val="28"/>
          <w:szCs w:val="28"/>
        </w:rPr>
        <w:t xml:space="preserve">стей, допущенных органом публичной власти или организацией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выданных официальных документах (выписках), на основании которых представляются сведения, не влечет применение взыскания. В этой связи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Методических рекомендациях отмечена целесообразность пре</w:t>
      </w:r>
      <w:r>
        <w:rPr>
          <w:rFonts w:ascii="Times New Roman" w:hAnsi="Times New Roman"/>
          <w:sz w:val="28"/>
          <w:szCs w:val="28"/>
        </w:rPr>
        <w:t xml:space="preserve">дставления сведений на основании официальных документов, например, 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некредитными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финанс</w:t>
      </w:r>
      <w:r>
        <w:rPr>
          <w:rFonts w:ascii="Times New Roman" w:hAnsi="Times New Roman"/>
          <w:sz w:val="28"/>
          <w:szCs w:val="28"/>
        </w:rPr>
        <w:t xml:space="preserve">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 единой форме предоставления сведений и порядке ее </w:t>
      </w:r>
      <w:r>
        <w:rPr>
          <w:rFonts w:ascii="Times New Roman" w:hAnsi="Times New Roman"/>
          <w:sz w:val="28"/>
          <w:szCs w:val="28"/>
        </w:rPr>
        <w:t>заполнения".</w:t>
      </w:r>
    </w:p>
    <w:p w:rsidR="00B7233B" w:rsidRDefault="00ED7E7F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B7233B" w:rsidRDefault="00ED7E7F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 порядок отражения социальной поддержки молодежи в возрасте от 14 до 22 лет для повышения до</w:t>
      </w:r>
      <w:r>
        <w:rPr>
          <w:rFonts w:ascii="Times New Roman" w:hAnsi="Times New Roman"/>
          <w:sz w:val="28"/>
          <w:szCs w:val="28"/>
        </w:rPr>
        <w:t xml:space="preserve">ступности организаций культуры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(т.н. "Пушкинская карта").</w:t>
      </w:r>
    </w:p>
    <w:p w:rsidR="00B7233B" w:rsidRDefault="00ED7E7F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Методических рекомендациях учтены изменения, предусмотренные Указом Президента Российской Федерации от 10 декабря 2020 г. № 778 "О мерах по реализации отдельных положений Федерального закона "О ц</w:t>
      </w:r>
      <w:r>
        <w:rPr>
          <w:rFonts w:ascii="Times New Roman" w:hAnsi="Times New Roman"/>
          <w:sz w:val="28"/>
          <w:szCs w:val="28"/>
        </w:rPr>
        <w:t>ифровых финансовых активах, цифровой валюте и о внесении изменений в отдельные законодательные акты Российской Федерации".</w:t>
      </w:r>
    </w:p>
    <w:p w:rsidR="00B7233B" w:rsidRDefault="00ED7E7F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Определены особенности представления информации в случае приобретение недвижимого имущества посредством участия в долевом строительст</w:t>
      </w:r>
      <w:r>
        <w:rPr>
          <w:rFonts w:ascii="Times New Roman" w:hAnsi="Times New Roman"/>
          <w:sz w:val="28"/>
          <w:szCs w:val="28"/>
        </w:rPr>
        <w:t xml:space="preserve">ве с использованием счетов </w:t>
      </w:r>
      <w:proofErr w:type="spellStart"/>
      <w:r>
        <w:rPr>
          <w:rFonts w:ascii="Times New Roman" w:hAnsi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7233B" w:rsidRDefault="00ED7E7F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154 Методических рекомендаций обозначено, что уставный капитал зарубежных организаций необходимо устанавливать в соответствии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применимым правом (допускается использование данных из официальных источников в инф</w:t>
      </w:r>
      <w:r>
        <w:rPr>
          <w:rFonts w:ascii="Times New Roman" w:hAnsi="Times New Roman"/>
          <w:sz w:val="28"/>
          <w:szCs w:val="28"/>
        </w:rPr>
        <w:t>ормационно-телекоммуникационной сети "Интернет").</w:t>
      </w:r>
    </w:p>
    <w:p w:rsidR="00B7233B" w:rsidRDefault="00ED7E7F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Определенны особенности представления информации об акциях, приобретенных на организованных торгах.</w:t>
      </w:r>
    </w:p>
    <w:p w:rsidR="00B7233B" w:rsidRDefault="00ED7E7F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Отмечено, что при наличии обстоятельств фьючерсный договор подлежит отражению.</w:t>
      </w:r>
    </w:p>
    <w:p w:rsidR="00B7233B" w:rsidRDefault="00ED7E7F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Актуализированы особенности</w:t>
      </w:r>
      <w:r>
        <w:rPr>
          <w:rFonts w:ascii="Times New Roman" w:hAnsi="Times New Roman"/>
          <w:sz w:val="28"/>
          <w:szCs w:val="28"/>
        </w:rPr>
        <w:t xml:space="preserve">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B7233B" w:rsidRDefault="00ED7E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учетом изменений нормативных правовых актов Российской Федераци</w:t>
      </w:r>
      <w:r>
        <w:rPr>
          <w:rFonts w:ascii="Times New Roman" w:hAnsi="Times New Roman"/>
          <w:sz w:val="28"/>
          <w:szCs w:val="28"/>
        </w:rPr>
        <w:t>и.</w:t>
      </w:r>
    </w:p>
    <w:sectPr w:rsidR="00B7233B">
      <w:headerReference w:type="default" r:id="rId7"/>
      <w:pgSz w:w="11905" w:h="16838"/>
      <w:pgMar w:top="1134" w:right="567" w:bottom="1134" w:left="1134" w:header="454" w:footer="6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7E7F">
      <w:pPr>
        <w:spacing w:after="0" w:line="240" w:lineRule="auto"/>
      </w:pPr>
      <w:r>
        <w:separator/>
      </w:r>
    </w:p>
  </w:endnote>
  <w:endnote w:type="continuationSeparator" w:id="0">
    <w:p w:rsidR="00000000" w:rsidRDefault="00ED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7E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D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FA7" w:rsidRDefault="00ED7E7F">
    <w:pPr>
      <w:pStyle w:val="a4"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870FA7" w:rsidRDefault="00ED7E7F">
    <w:pPr>
      <w:pStyle w:val="a4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1562"/>
    <w:multiLevelType w:val="multilevel"/>
    <w:tmpl w:val="1FA0A0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7233B"/>
    <w:rsid w:val="00B7233B"/>
    <w:rsid w:val="00E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BF3DE-84C8-4219-B7A4-98D8833F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160" w:line="256" w:lineRule="auto"/>
      <w:ind w:left="720"/>
    </w:pPr>
  </w:style>
  <w:style w:type="paragraph" w:styleId="a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Комова Анна Сергеевна</cp:lastModifiedBy>
  <cp:revision>2</cp:revision>
  <cp:lastPrinted>2021-12-23T15:14:00Z</cp:lastPrinted>
  <dcterms:created xsi:type="dcterms:W3CDTF">2022-01-10T05:15:00Z</dcterms:created>
  <dcterms:modified xsi:type="dcterms:W3CDTF">2022-01-10T05:15:00Z</dcterms:modified>
</cp:coreProperties>
</file>